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62" w:rsidRPr="00DA125C" w:rsidRDefault="00F61A62" w:rsidP="00F61A62">
      <w:pPr>
        <w:pStyle w:val="Default"/>
        <w:snapToGrid w:val="0"/>
        <w:spacing w:afterLines="20" w:after="72"/>
        <w:rPr>
          <w:rFonts w:ascii="Times New Roman" w:hAnsi="Times New Roman" w:cs="Times New Roman"/>
          <w:sz w:val="28"/>
          <w:szCs w:val="28"/>
        </w:rPr>
      </w:pPr>
      <w:r w:rsidRPr="00DA125C">
        <w:rPr>
          <w:rFonts w:ascii="Times New Roman" w:hAnsi="Times New Roman" w:cs="Times New Roman"/>
          <w:sz w:val="28"/>
          <w:szCs w:val="28"/>
        </w:rPr>
        <w:t>『</w:t>
      </w:r>
      <w:r w:rsidRPr="00DA125C">
        <w:rPr>
          <w:rFonts w:ascii="Times New Roman" w:hAnsi="Times New Roman" w:cs="Times New Roman"/>
          <w:b/>
          <w:sz w:val="28"/>
          <w:szCs w:val="28"/>
        </w:rPr>
        <w:t>銀髮健康照護與產業學分學程</w:t>
      </w:r>
      <w:r w:rsidRPr="00DA125C">
        <w:rPr>
          <w:rFonts w:ascii="Times New Roman" w:hAnsi="Times New Roman" w:cs="Times New Roman"/>
          <w:sz w:val="28"/>
          <w:szCs w:val="28"/>
        </w:rPr>
        <w:t>』課程規劃表（附件三</w:t>
      </w:r>
      <w:r w:rsidRPr="00DA125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5043" w:type="pct"/>
        <w:tblLook w:val="04A0" w:firstRow="1" w:lastRow="0" w:firstColumn="1" w:lastColumn="0" w:noHBand="0" w:noVBand="1"/>
      </w:tblPr>
      <w:tblGrid>
        <w:gridCol w:w="862"/>
        <w:gridCol w:w="2741"/>
        <w:gridCol w:w="457"/>
        <w:gridCol w:w="1444"/>
        <w:gridCol w:w="901"/>
        <w:gridCol w:w="536"/>
        <w:gridCol w:w="1406"/>
      </w:tblGrid>
      <w:tr w:rsidR="00F61A62" w:rsidRPr="00DA125C" w:rsidTr="00142933">
        <w:tc>
          <w:tcPr>
            <w:tcW w:w="40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</w:tcBorders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課程名稱</w:t>
            </w:r>
          </w:p>
        </w:tc>
        <w:tc>
          <w:tcPr>
            <w:tcW w:w="243" w:type="pct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學分</w:t>
            </w:r>
          </w:p>
        </w:tc>
        <w:tc>
          <w:tcPr>
            <w:tcW w:w="893" w:type="pct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授課教師</w:t>
            </w:r>
          </w:p>
        </w:tc>
        <w:tc>
          <w:tcPr>
            <w:tcW w:w="568" w:type="pct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授課單位</w:t>
            </w:r>
          </w:p>
        </w:tc>
        <w:tc>
          <w:tcPr>
            <w:tcW w:w="349" w:type="pct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學期</w:t>
            </w:r>
            <w:r w:rsidRPr="00DA12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0" w:type="pct"/>
            <w:tcBorders>
              <w:top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已開設</w:t>
            </w:r>
            <w:r w:rsidRPr="00DA125C">
              <w:rPr>
                <w:rFonts w:ascii="Cambria Math" w:hAnsi="Cambria Math" w:cs="Cambria Math"/>
                <w:b/>
              </w:rPr>
              <w:t>◎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待開設</w:t>
            </w:r>
            <w:r w:rsidRPr="00DA125C">
              <w:rPr>
                <w:rFonts w:ascii="Times New Roman" w:hAnsi="Times New Roman" w:cs="Times New Roman"/>
                <w:b/>
              </w:rPr>
              <w:t>※</w:t>
            </w:r>
          </w:p>
        </w:tc>
      </w:tr>
      <w:tr w:rsidR="00F61A62" w:rsidRPr="00DA125C" w:rsidTr="00142933">
        <w:trPr>
          <w:trHeight w:val="384"/>
        </w:trPr>
        <w:tc>
          <w:tcPr>
            <w:tcW w:w="406" w:type="pct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shd w:val="clear" w:color="auto" w:fill="E2EFD9" w:themeFill="accent6" w:themeFillTint="33"/>
            <w:textDirection w:val="tbRlV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基礎課程</w:t>
            </w:r>
          </w:p>
        </w:tc>
        <w:tc>
          <w:tcPr>
            <w:tcW w:w="1670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心理學</w:t>
            </w:r>
            <w:r w:rsidRPr="00DA125C">
              <w:rPr>
                <w:rFonts w:ascii="Times New Roman" w:hAnsi="Times New Roman" w:cs="Times New Roman"/>
              </w:rPr>
              <w:t>-</w:t>
            </w:r>
            <w:r w:rsidRPr="00DA125C">
              <w:rPr>
                <w:rFonts w:ascii="Times New Roman" w:hAnsi="Times New Roman" w:cs="Times New Roman"/>
              </w:rPr>
              <w:t>從認知發展到高齡認知</w:t>
            </w:r>
          </w:p>
        </w:tc>
        <w:tc>
          <w:tcPr>
            <w:tcW w:w="243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張立鴻</w:t>
            </w:r>
          </w:p>
        </w:tc>
        <w:tc>
          <w:tcPr>
            <w:tcW w:w="568" w:type="pct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共教中心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top w:val="doub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E2EFD9" w:themeFill="accent6" w:themeFillTint="33"/>
            <w:vAlign w:val="center"/>
          </w:tcPr>
          <w:p w:rsidR="00F61A62" w:rsidRPr="00C8450F" w:rsidRDefault="00F61A62" w:rsidP="00142933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8450F">
              <w:rPr>
                <w:rFonts w:ascii="Times New Roman" w:eastAsia="標楷體" w:hAnsi="Times New Roman" w:cs="Times New Roman"/>
              </w:rPr>
              <w:t>高齡健康促進</w:t>
            </w:r>
            <w:r w:rsidRPr="00C8450F">
              <w:rPr>
                <w:rFonts w:ascii="Times New Roman" w:eastAsia="標楷體" w:hAnsi="Times New Roman" w:cs="Times New Roman"/>
              </w:rPr>
              <w:t xml:space="preserve"> [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 w:rsidRPr="00C8450F">
              <w:rPr>
                <w:rFonts w:ascii="Times New Roman" w:eastAsia="標楷體" w:hAnsi="Times New Roman" w:cs="Times New Roman"/>
              </w:rPr>
              <w:t>原名</w:t>
            </w:r>
            <w:r w:rsidRPr="00C8450F">
              <w:rPr>
                <w:rFonts w:ascii="Times New Roman" w:eastAsia="標楷體" w:hAnsi="Times New Roman" w:cs="Times New Roman"/>
              </w:rPr>
              <w:t>”</w:t>
            </w:r>
            <w:r w:rsidRPr="00C8450F">
              <w:rPr>
                <w:rFonts w:ascii="Times New Roman" w:eastAsia="標楷體" w:hAnsi="Times New Roman" w:cs="Times New Roman"/>
                <w:bCs/>
                <w:szCs w:val="24"/>
              </w:rPr>
              <w:t>預防與延緩高齡衰弱：由健康生活型態與認知之觀點出發</w:t>
            </w:r>
            <w:r w:rsidRPr="00C8450F">
              <w:rPr>
                <w:rFonts w:ascii="Times New Roman" w:hAnsi="Times New Roman" w:cs="Times New Roman"/>
              </w:rPr>
              <w:t>”]</w:t>
            </w:r>
          </w:p>
        </w:tc>
        <w:tc>
          <w:tcPr>
            <w:tcW w:w="243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楊雅如、蔡美文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陳喬男、李雪楨</w:t>
            </w:r>
          </w:p>
        </w:tc>
        <w:tc>
          <w:tcPr>
            <w:tcW w:w="568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看得到、找得到、用得到的長期照顧</w:t>
            </w:r>
          </w:p>
        </w:tc>
        <w:tc>
          <w:tcPr>
            <w:tcW w:w="243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楊曼華等</w:t>
            </w:r>
          </w:p>
        </w:tc>
        <w:tc>
          <w:tcPr>
            <w:tcW w:w="568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護理系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人社中心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E2EFD9" w:themeFill="accent6" w:themeFillTint="33"/>
            <w:vAlign w:val="center"/>
          </w:tcPr>
          <w:p w:rsidR="00F61A62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日常生活功能訓練與輔具應用</w:t>
            </w:r>
          </w:p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B22FFA">
              <w:rPr>
                <w:rFonts w:ascii="Times New Roman" w:hAnsi="Times New Roman" w:cs="Times New Roman" w:hint="eastAsia"/>
                <w:sz w:val="21"/>
                <w:szCs w:val="21"/>
              </w:rPr>
              <w:t>*</w:t>
            </w:r>
            <w:r w:rsidRPr="00B22FFA">
              <w:rPr>
                <w:rFonts w:ascii="Times New Roman" w:hAnsi="Times New Roman" w:cs="Times New Roman" w:hint="eastAsia"/>
                <w:sz w:val="21"/>
                <w:szCs w:val="21"/>
              </w:rPr>
              <w:t>以物輔系學生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當學期</w:t>
            </w:r>
            <w:r w:rsidRPr="00B22FFA">
              <w:rPr>
                <w:rFonts w:ascii="Times New Roman" w:hAnsi="Times New Roman" w:cs="Times New Roman" w:hint="eastAsia"/>
                <w:sz w:val="21"/>
                <w:szCs w:val="21"/>
              </w:rPr>
              <w:t>必修優先，至多</w:t>
            </w:r>
            <w:r w:rsidRPr="00B22FFA"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  <w:r w:rsidRPr="00B22FFA">
              <w:rPr>
                <w:rFonts w:ascii="Times New Roman" w:hAnsi="Times New Roman" w:cs="Times New Roman" w:hint="eastAsia"/>
                <w:sz w:val="21"/>
                <w:szCs w:val="21"/>
              </w:rPr>
              <w:t>人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243" w:type="pct"/>
            <w:shd w:val="clear" w:color="auto" w:fill="E2EFD9" w:themeFill="accent6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E2EFD9" w:themeFill="accent6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李淑貞</w:t>
            </w:r>
          </w:p>
        </w:tc>
        <w:tc>
          <w:tcPr>
            <w:tcW w:w="568" w:type="pct"/>
            <w:shd w:val="clear" w:color="auto" w:fill="E2EFD9" w:themeFill="accent6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shd w:val="clear" w:color="auto" w:fill="E2EFD9" w:themeFill="accent6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rPr>
          <w:trHeight w:val="375"/>
        </w:trPr>
        <w:tc>
          <w:tcPr>
            <w:tcW w:w="406" w:type="pct"/>
            <w:vMerge/>
            <w:tcBorders>
              <w:left w:val="single" w:sz="12" w:space="0" w:color="000000" w:themeColor="text1"/>
              <w:bottom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老人學與成功老化</w:t>
            </w:r>
          </w:p>
        </w:tc>
        <w:tc>
          <w:tcPr>
            <w:tcW w:w="243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陳喬男</w:t>
            </w:r>
          </w:p>
        </w:tc>
        <w:tc>
          <w:tcPr>
            <w:tcW w:w="568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下</w:t>
            </w:r>
          </w:p>
        </w:tc>
        <w:tc>
          <w:tcPr>
            <w:tcW w:w="870" w:type="pct"/>
            <w:tcBorders>
              <w:bottom w:val="doub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shd w:val="clear" w:color="auto" w:fill="EDEDED" w:themeFill="accent3" w:themeFillTint="33"/>
            <w:textDirection w:val="tbRlV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(</w:t>
            </w:r>
            <w:r w:rsidRPr="00DA125C">
              <w:rPr>
                <w:rFonts w:ascii="Times New Roman" w:hAnsi="Times New Roman" w:cs="Times New Roman"/>
                <w:b/>
              </w:rPr>
              <w:t>健康照護</w:t>
            </w:r>
            <w:r w:rsidRPr="00DA125C">
              <w:rPr>
                <w:rFonts w:ascii="Times New Roman" w:hAnsi="Times New Roman" w:cs="Times New Roman"/>
                <w:b/>
              </w:rPr>
              <w:t>)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  <w:b/>
              </w:rPr>
              <w:t>進階課程</w:t>
            </w:r>
          </w:p>
        </w:tc>
        <w:tc>
          <w:tcPr>
            <w:tcW w:w="167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在地安老之理論與實踐</w:t>
            </w:r>
            <w:r w:rsidRPr="00DA125C">
              <w:rPr>
                <w:rFonts w:ascii="Times New Roman" w:hAnsi="Times New Roman" w:cs="Times New Roman"/>
              </w:rPr>
              <w:t>-</w:t>
            </w:r>
            <w:r w:rsidRPr="00DA125C">
              <w:rPr>
                <w:rFonts w:ascii="Times New Roman" w:hAnsi="Times New Roman" w:cs="Times New Roman"/>
              </w:rPr>
              <w:t>翻轉衰弱與失能之跨專業整合模式</w:t>
            </w:r>
          </w:p>
        </w:tc>
        <w:tc>
          <w:tcPr>
            <w:tcW w:w="243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李雪楨、許銘能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李玉春</w:t>
            </w:r>
          </w:p>
        </w:tc>
        <w:tc>
          <w:tcPr>
            <w:tcW w:w="568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top w:val="doub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EDEDED" w:themeFill="accent3" w:themeFillTint="33"/>
            <w:textDirection w:val="tbRlV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pct"/>
            <w:shd w:val="clear" w:color="auto" w:fill="EDEDED" w:themeFill="accent3" w:themeFillTint="33"/>
            <w:vAlign w:val="center"/>
          </w:tcPr>
          <w:p w:rsidR="00F61A62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高齡醫學跨專業</w:t>
            </w:r>
            <w:r>
              <w:rPr>
                <w:rFonts w:ascii="Times New Roman" w:hAnsi="Times New Roman" w:cs="Times New Roman" w:hint="eastAsia"/>
              </w:rPr>
              <w:t>問題導向學習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[*</w:t>
            </w:r>
            <w:r>
              <w:rPr>
                <w:rFonts w:ascii="Times New Roman" w:hAnsi="Times New Roman" w:cs="Times New Roman" w:hint="eastAsia"/>
              </w:rPr>
              <w:t>原名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高齡物理治療學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(II)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3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李雪楨、邱愛富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許銘能</w:t>
            </w:r>
            <w:r>
              <w:rPr>
                <w:rFonts w:ascii="Times New Roman" w:hAnsi="Times New Roman" w:cs="Times New Roman" w:hint="eastAsia"/>
              </w:rPr>
              <w:t>、施怡芬</w:t>
            </w:r>
          </w:p>
        </w:tc>
        <w:tc>
          <w:tcPr>
            <w:tcW w:w="568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110(1)</w:t>
            </w:r>
            <w:r>
              <w:rPr>
                <w:rFonts w:ascii="Times New Roman" w:hAnsi="Times New Roman" w:cs="Times New Roman" w:hint="eastAsia"/>
              </w:rPr>
              <w:t>開設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EDEDED" w:themeFill="accent3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長期照護學</w:t>
            </w:r>
          </w:p>
        </w:tc>
        <w:tc>
          <w:tcPr>
            <w:tcW w:w="243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林麗嬋、吳肖琪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楊曼華</w:t>
            </w:r>
          </w:p>
        </w:tc>
        <w:tc>
          <w:tcPr>
            <w:tcW w:w="568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臨護所</w:t>
            </w:r>
          </w:p>
        </w:tc>
        <w:tc>
          <w:tcPr>
            <w:tcW w:w="349" w:type="pct"/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下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  <w:bottom w:val="double" w:sz="4" w:space="0" w:color="auto"/>
            </w:tcBorders>
            <w:shd w:val="clear" w:color="auto" w:fill="EDEDED" w:themeFill="accent3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高齡物理治療學</w:t>
            </w:r>
            <w:r>
              <w:rPr>
                <w:rFonts w:ascii="Times New Roman" w:hAnsi="Times New Roman" w:cs="Times New Roman" w:hint="eastAsia"/>
              </w:rPr>
              <w:t xml:space="preserve"> [*</w:t>
            </w:r>
            <w:r>
              <w:rPr>
                <w:rFonts w:ascii="Times New Roman" w:hAnsi="Times New Roman" w:cs="Times New Roman" w:hint="eastAsia"/>
              </w:rPr>
              <w:t>原名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高齡物理治療學</w:t>
            </w:r>
            <w:r w:rsidRPr="00DA125C">
              <w:rPr>
                <w:rFonts w:ascii="Times New Roman" w:hAnsi="Times New Roman" w:cs="Times New Roman"/>
              </w:rPr>
              <w:t>(I)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243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李雪楨</w:t>
            </w:r>
            <w:r>
              <w:rPr>
                <w:rFonts w:ascii="Times New Roman" w:hAnsi="Times New Roman" w:cs="Times New Roman" w:hint="eastAsia"/>
              </w:rPr>
              <w:t>、王瑞瑤</w:t>
            </w:r>
          </w:p>
        </w:tc>
        <w:tc>
          <w:tcPr>
            <w:tcW w:w="568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下</w:t>
            </w:r>
          </w:p>
        </w:tc>
        <w:tc>
          <w:tcPr>
            <w:tcW w:w="870" w:type="pct"/>
            <w:tcBorders>
              <w:bottom w:val="double" w:sz="4" w:space="0" w:color="auto"/>
              <w:right w:val="single" w:sz="12" w:space="0" w:color="000000" w:themeColor="text1"/>
            </w:tcBorders>
            <w:shd w:val="clear" w:color="auto" w:fill="EDEDED" w:themeFill="accent3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108(2)</w:t>
            </w:r>
            <w:r>
              <w:rPr>
                <w:rFonts w:ascii="Times New Roman" w:hAnsi="Times New Roman" w:cs="Times New Roman" w:hint="eastAsia"/>
              </w:rPr>
              <w:t>開設</w:t>
            </w:r>
          </w:p>
        </w:tc>
      </w:tr>
      <w:tr w:rsidR="00F61A62" w:rsidRPr="00DA125C" w:rsidTr="00142933">
        <w:tc>
          <w:tcPr>
            <w:tcW w:w="406" w:type="pct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shd w:val="clear" w:color="auto" w:fill="D5DCE4" w:themeFill="text2" w:themeFillTint="33"/>
            <w:textDirection w:val="tbRlV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(</w:t>
            </w:r>
            <w:r w:rsidRPr="00DA125C">
              <w:rPr>
                <w:rFonts w:ascii="Times New Roman" w:hAnsi="Times New Roman" w:cs="Times New Roman"/>
                <w:b/>
              </w:rPr>
              <w:t>健康產業或政策</w:t>
            </w:r>
            <w:r w:rsidRPr="00DA125C">
              <w:rPr>
                <w:rFonts w:ascii="Times New Roman" w:hAnsi="Times New Roman" w:cs="Times New Roman"/>
                <w:b/>
              </w:rPr>
              <w:t>)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  <w:b/>
              </w:rPr>
              <w:t>進階課程</w:t>
            </w:r>
          </w:p>
        </w:tc>
        <w:tc>
          <w:tcPr>
            <w:tcW w:w="1670" w:type="pc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長期照護政策</w:t>
            </w:r>
          </w:p>
        </w:tc>
        <w:tc>
          <w:tcPr>
            <w:tcW w:w="243" w:type="pc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吳肖琪</w:t>
            </w:r>
          </w:p>
        </w:tc>
        <w:tc>
          <w:tcPr>
            <w:tcW w:w="568" w:type="pc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衛福所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top w:val="double" w:sz="4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rPr>
          <w:trHeight w:val="1032"/>
        </w:trPr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D5DCE4" w:themeFill="text2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D5DCE4" w:themeFill="text2" w:themeFillTint="33"/>
            <w:vAlign w:val="center"/>
          </w:tcPr>
          <w:p w:rsidR="00F61A62" w:rsidRPr="00E468BE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2FFA">
              <w:rPr>
                <w:rFonts w:ascii="Times New Roman" w:hAnsi="Times New Roman" w:cs="Times New Roman" w:hint="eastAsia"/>
              </w:rPr>
              <w:t>長照及社會福利輔具政策及產業概論</w:t>
            </w:r>
            <w:r w:rsidRPr="007240C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[</w:t>
            </w:r>
            <w:r w:rsidRPr="007240C0">
              <w:rPr>
                <w:rFonts w:ascii="Times New Roman" w:hAnsi="Times New Roman" w:cs="Times New Roman" w:hint="eastAsia"/>
              </w:rPr>
              <w:t>*</w:t>
            </w:r>
            <w:r w:rsidRPr="007240C0">
              <w:rPr>
                <w:rFonts w:ascii="Times New Roman" w:hAnsi="Times New Roman" w:cs="Times New Roman" w:hint="eastAsia"/>
              </w:rPr>
              <w:t>原名</w:t>
            </w:r>
            <w:r w:rsidRPr="007240C0">
              <w:rPr>
                <w:rFonts w:ascii="Times New Roman" w:hAnsi="Times New Roman" w:cs="Times New Roman"/>
              </w:rPr>
              <w:t>”</w:t>
            </w:r>
            <w:r w:rsidRPr="007240C0">
              <w:rPr>
                <w:rFonts w:ascii="Times New Roman" w:hAnsi="Times New Roman" w:cs="Times New Roman" w:hint="eastAsia"/>
              </w:rPr>
              <w:t>高齡社會健康照護與福利政策</w:t>
            </w:r>
            <w:r w:rsidRPr="007240C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243" w:type="pct"/>
            <w:shd w:val="clear" w:color="auto" w:fill="D5DCE4" w:themeFill="text2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D5DCE4" w:themeFill="text2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李淑貞</w:t>
            </w:r>
          </w:p>
        </w:tc>
        <w:tc>
          <w:tcPr>
            <w:tcW w:w="568" w:type="pct"/>
            <w:shd w:val="clear" w:color="auto" w:fill="D5DCE4" w:themeFill="text2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shd w:val="clear" w:color="auto" w:fill="D5DCE4" w:themeFill="text2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22FFA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61A62" w:rsidRPr="00B22FFA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110(1)</w:t>
            </w:r>
            <w:r>
              <w:rPr>
                <w:rFonts w:ascii="Times New Roman" w:hAnsi="Times New Roman" w:cs="Times New Roman" w:hint="eastAsia"/>
              </w:rPr>
              <w:t>開設</w:t>
            </w:r>
          </w:p>
        </w:tc>
      </w:tr>
      <w:tr w:rsidR="00F61A62" w:rsidRPr="00DA125C" w:rsidTr="00142933">
        <w:trPr>
          <w:trHeight w:val="423"/>
        </w:trPr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D5DCE4" w:themeFill="text2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健康與長期照護保險制度</w:t>
            </w:r>
          </w:p>
        </w:tc>
        <w:tc>
          <w:tcPr>
            <w:tcW w:w="243" w:type="pct"/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李玉春</w:t>
            </w:r>
          </w:p>
        </w:tc>
        <w:tc>
          <w:tcPr>
            <w:tcW w:w="568" w:type="pct"/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衛福所</w:t>
            </w:r>
          </w:p>
        </w:tc>
        <w:tc>
          <w:tcPr>
            <w:tcW w:w="349" w:type="pct"/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下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  <w:bottom w:val="double" w:sz="4" w:space="0" w:color="auto"/>
            </w:tcBorders>
            <w:shd w:val="clear" w:color="auto" w:fill="D5DCE4" w:themeFill="text2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長照給付與支付照顧管理暨個案管理</w:t>
            </w:r>
          </w:p>
        </w:tc>
        <w:tc>
          <w:tcPr>
            <w:tcW w:w="243" w:type="pct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93" w:type="pct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李玉春、吳肖琪林麗</w:t>
            </w:r>
            <w:r>
              <w:rPr>
                <w:rFonts w:ascii="Times New Roman" w:hAnsi="Times New Roman" w:cs="Times New Roman" w:hint="eastAsia"/>
              </w:rPr>
              <w:lastRenderedPageBreak/>
              <w:t>嬋、李怡娟</w:t>
            </w:r>
          </w:p>
        </w:tc>
        <w:tc>
          <w:tcPr>
            <w:tcW w:w="568" w:type="pct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lastRenderedPageBreak/>
              <w:t>跨專業長</w:t>
            </w:r>
            <w:r w:rsidRPr="00DA125C">
              <w:rPr>
                <w:rFonts w:ascii="Times New Roman" w:hAnsi="Times New Roman" w:cs="Times New Roman"/>
              </w:rPr>
              <w:lastRenderedPageBreak/>
              <w:t>照與管理碩士學位學程</w:t>
            </w: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lastRenderedPageBreak/>
              <w:t>待</w:t>
            </w:r>
            <w:r>
              <w:rPr>
                <w:rFonts w:ascii="Times New Roman" w:hAnsi="Times New Roman" w:cs="Times New Roman" w:hint="eastAsia"/>
              </w:rPr>
              <w:lastRenderedPageBreak/>
              <w:t>定</w:t>
            </w:r>
          </w:p>
        </w:tc>
        <w:tc>
          <w:tcPr>
            <w:tcW w:w="870" w:type="pct"/>
            <w:tcBorders>
              <w:bottom w:val="double" w:sz="4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預計</w:t>
            </w:r>
            <w:r>
              <w:rPr>
                <w:rFonts w:ascii="Times New Roman" w:hAnsi="Times New Roman" w:cs="Times New Roman" w:hint="eastAsia"/>
              </w:rPr>
              <w:t>109</w:t>
            </w:r>
            <w:r>
              <w:rPr>
                <w:rFonts w:ascii="Times New Roman" w:hAnsi="Times New Roman" w:cs="Times New Roman" w:hint="eastAsia"/>
              </w:rPr>
              <w:t>學年度開設</w:t>
            </w:r>
          </w:p>
        </w:tc>
      </w:tr>
      <w:tr w:rsidR="00F61A62" w:rsidRPr="00DA125C" w:rsidTr="00142933">
        <w:tc>
          <w:tcPr>
            <w:tcW w:w="406" w:type="pct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shd w:val="clear" w:color="auto" w:fill="FFF2CC" w:themeFill="accent4" w:themeFillTint="33"/>
            <w:textDirection w:val="tbRlV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125C">
              <w:rPr>
                <w:rFonts w:ascii="Times New Roman" w:hAnsi="Times New Roman" w:cs="Times New Roman"/>
                <w:b/>
              </w:rPr>
              <w:t>選修課程</w:t>
            </w:r>
          </w:p>
        </w:tc>
        <w:tc>
          <w:tcPr>
            <w:tcW w:w="1670" w:type="pc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老人健康評估</w:t>
            </w:r>
          </w:p>
        </w:tc>
        <w:tc>
          <w:tcPr>
            <w:tcW w:w="243" w:type="pc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pc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邱愛富、陳怡如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王子芳</w:t>
            </w:r>
          </w:p>
        </w:tc>
        <w:tc>
          <w:tcPr>
            <w:tcW w:w="568" w:type="pc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護理學系碩專班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top w:val="double" w:sz="4" w:space="0" w:color="auto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FFF2CC" w:themeFill="accent4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高齡與長照實習</w:t>
            </w:r>
          </w:p>
        </w:tc>
        <w:tc>
          <w:tcPr>
            <w:tcW w:w="24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李雪楨、王瑞瑤</w:t>
            </w:r>
          </w:p>
        </w:tc>
        <w:tc>
          <w:tcPr>
            <w:tcW w:w="568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110(1)</w:t>
            </w:r>
            <w:r>
              <w:rPr>
                <w:rFonts w:ascii="Times New Roman" w:hAnsi="Times New Roman" w:cs="Times New Roman" w:hint="eastAsia"/>
              </w:rPr>
              <w:t>開設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FFF2CC" w:themeFill="accent4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樂齡創客工作坊</w:t>
            </w:r>
          </w:p>
        </w:tc>
        <w:tc>
          <w:tcPr>
            <w:tcW w:w="24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游忠煌</w:t>
            </w:r>
            <w:r>
              <w:rPr>
                <w:rFonts w:ascii="Times New Roman" w:hAnsi="Times New Roman" w:cs="Times New Roman" w:hint="eastAsia"/>
              </w:rPr>
              <w:t>、周立偉</w:t>
            </w:r>
          </w:p>
        </w:tc>
        <w:tc>
          <w:tcPr>
            <w:tcW w:w="568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物輔系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上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beforeLines="10" w:before="36" w:afterLines="10" w:after="36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FFF2CC" w:themeFill="accent4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老人健康照護及處置</w:t>
            </w:r>
          </w:p>
        </w:tc>
        <w:tc>
          <w:tcPr>
            <w:tcW w:w="24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陳怡如、邱愛富</w:t>
            </w:r>
          </w:p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王子芳</w:t>
            </w:r>
          </w:p>
        </w:tc>
        <w:tc>
          <w:tcPr>
            <w:tcW w:w="568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護理學系碩專班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下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Cambria Math" w:hAnsi="Cambria Math" w:cs="Cambria Math"/>
              </w:rPr>
              <w:t>◎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FFF2CC" w:themeFill="accent4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高齡用藥與疾病預防</w:t>
            </w:r>
          </w:p>
        </w:tc>
        <w:tc>
          <w:tcPr>
            <w:tcW w:w="24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9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許銘能</w:t>
            </w:r>
          </w:p>
        </w:tc>
        <w:tc>
          <w:tcPr>
            <w:tcW w:w="568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藥學系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待</w:t>
            </w:r>
            <w:r>
              <w:rPr>
                <w:rFonts w:ascii="Times New Roman" w:hAnsi="Times New Roman" w:cs="Times New Roman" w:hint="eastAsia"/>
              </w:rPr>
              <w:t>定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109</w:t>
            </w:r>
            <w:r>
              <w:rPr>
                <w:rFonts w:ascii="Times New Roman" w:hAnsi="Times New Roman" w:cs="Times New Roman" w:hint="eastAsia"/>
              </w:rPr>
              <w:t>學年度開設</w:t>
            </w:r>
          </w:p>
        </w:tc>
      </w:tr>
      <w:tr w:rsidR="00F61A62" w:rsidRPr="00DA125C" w:rsidTr="00142933">
        <w:tc>
          <w:tcPr>
            <w:tcW w:w="406" w:type="pct"/>
            <w:vMerge/>
            <w:tcBorders>
              <w:left w:val="single" w:sz="12" w:space="0" w:color="000000" w:themeColor="text1"/>
            </w:tcBorders>
            <w:shd w:val="clear" w:color="auto" w:fill="FFF2CC" w:themeFill="accent4" w:themeFillTint="33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長期</w:t>
            </w:r>
            <w:r>
              <w:rPr>
                <w:rFonts w:ascii="Times New Roman" w:hAnsi="Times New Roman" w:cs="Times New Roman" w:hint="eastAsia"/>
              </w:rPr>
              <w:t>機構經營管理與品質確保</w:t>
            </w:r>
          </w:p>
        </w:tc>
        <w:tc>
          <w:tcPr>
            <w:tcW w:w="24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林麗嬋</w:t>
            </w:r>
          </w:p>
        </w:tc>
        <w:tc>
          <w:tcPr>
            <w:tcW w:w="568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afterLines="20" w:after="72"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跨專業長照與管理碩士學位學程</w:t>
            </w: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DA125C">
              <w:rPr>
                <w:rFonts w:ascii="Times New Roman" w:hAnsi="Times New Roman" w:cs="Times New Roman"/>
              </w:rPr>
              <w:t>待</w:t>
            </w:r>
            <w:r>
              <w:rPr>
                <w:rFonts w:ascii="Times New Roman" w:hAnsi="Times New Roman" w:cs="Times New Roman" w:hint="eastAsia"/>
              </w:rPr>
              <w:t>定</w:t>
            </w:r>
          </w:p>
        </w:tc>
        <w:tc>
          <w:tcPr>
            <w:tcW w:w="870" w:type="pct"/>
            <w:tcBorders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F61A62" w:rsidRPr="00DA125C" w:rsidRDefault="00F61A62" w:rsidP="00142933">
            <w:pPr>
              <w:pStyle w:val="Default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預計</w:t>
            </w:r>
            <w:r>
              <w:rPr>
                <w:rFonts w:ascii="Times New Roman" w:hAnsi="Times New Roman" w:cs="Times New Roman" w:hint="eastAsia"/>
              </w:rPr>
              <w:t>109</w:t>
            </w:r>
            <w:r>
              <w:rPr>
                <w:rFonts w:ascii="Times New Roman" w:hAnsi="Times New Roman" w:cs="Times New Roman" w:hint="eastAsia"/>
              </w:rPr>
              <w:t>學年度開設</w:t>
            </w:r>
          </w:p>
        </w:tc>
      </w:tr>
    </w:tbl>
    <w:p w:rsidR="00E20425" w:rsidRDefault="00E20425">
      <w:bookmarkStart w:id="0" w:name="_GoBack"/>
      <w:bookmarkEnd w:id="0"/>
    </w:p>
    <w:sectPr w:rsidR="00E20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B0" w:rsidRDefault="002467B0" w:rsidP="00F61A62">
      <w:r>
        <w:separator/>
      </w:r>
    </w:p>
  </w:endnote>
  <w:endnote w:type="continuationSeparator" w:id="0">
    <w:p w:rsidR="002467B0" w:rsidRDefault="002467B0" w:rsidP="00F6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B0" w:rsidRDefault="002467B0" w:rsidP="00F61A62">
      <w:r>
        <w:separator/>
      </w:r>
    </w:p>
  </w:footnote>
  <w:footnote w:type="continuationSeparator" w:id="0">
    <w:p w:rsidR="002467B0" w:rsidRDefault="002467B0" w:rsidP="00F6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FE"/>
    <w:rsid w:val="002467B0"/>
    <w:rsid w:val="00296FFE"/>
    <w:rsid w:val="00E20425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68FE1-9A84-49C3-8111-5AA44E0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A62"/>
    <w:rPr>
      <w:sz w:val="20"/>
      <w:szCs w:val="20"/>
    </w:rPr>
  </w:style>
  <w:style w:type="table" w:styleId="a7">
    <w:name w:val="Table Grid"/>
    <w:basedOn w:val="a1"/>
    <w:uiPriority w:val="59"/>
    <w:rsid w:val="00F61A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1A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Lee</dc:creator>
  <cp:keywords/>
  <dc:description/>
  <cp:lastModifiedBy>Apple Lee</cp:lastModifiedBy>
  <cp:revision>2</cp:revision>
  <dcterms:created xsi:type="dcterms:W3CDTF">2019-08-13T09:59:00Z</dcterms:created>
  <dcterms:modified xsi:type="dcterms:W3CDTF">2019-08-13T10:00:00Z</dcterms:modified>
</cp:coreProperties>
</file>